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166DE5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Instructor: Ms. Hynes</w:t>
      </w:r>
    </w:p>
    <w:p w:rsidR="00166DE5" w:rsidRDefault="00166DE5" w:rsidP="00166DE5">
      <w:pPr>
        <w:jc w:val="center"/>
        <w:rPr>
          <w:b/>
          <w:u w:val="single"/>
        </w:rPr>
      </w:pPr>
      <w:r>
        <w:rPr>
          <w:b/>
          <w:u w:val="single"/>
        </w:rPr>
        <w:t>Summer Enrichment List:</w:t>
      </w:r>
    </w:p>
    <w:p w:rsidR="00166DE5" w:rsidRDefault="00166DE5" w:rsidP="00166DE5">
      <w:pPr>
        <w:jc w:val="center"/>
      </w:pPr>
      <w:r>
        <w:rPr>
          <w:b/>
          <w:u w:val="single"/>
        </w:rPr>
        <w:t>Books, Articles, Films and Documentaries</w:t>
      </w:r>
    </w:p>
    <w:p w:rsidR="00146E62" w:rsidRPr="00146E62" w:rsidRDefault="00146E62" w:rsidP="00166DE5">
      <w:pPr>
        <w:rPr>
          <w:b/>
        </w:rPr>
      </w:pPr>
      <w:r w:rsidRPr="00146E62">
        <w:rPr>
          <w:b/>
        </w:rPr>
        <w:t xml:space="preserve">Teacher’s Message: </w:t>
      </w:r>
    </w:p>
    <w:p w:rsidR="00146E62" w:rsidRDefault="00166DE5" w:rsidP="00166DE5">
      <w:pPr>
        <w:rPr>
          <w:i/>
        </w:rPr>
      </w:pPr>
      <w:r>
        <w:rPr>
          <w:i/>
        </w:rPr>
        <w:t>Greetings seniors! Congratulations on all your hard work, commitment</w:t>
      </w:r>
      <w:r w:rsidR="00251580">
        <w:rPr>
          <w:i/>
        </w:rPr>
        <w:t>,</w:t>
      </w:r>
      <w:r>
        <w:rPr>
          <w:i/>
        </w:rPr>
        <w:t xml:space="preserve"> and success this year! In a few months, you’ll return for your last year of high school after a well-deserved summer break. </w:t>
      </w:r>
    </w:p>
    <w:p w:rsidR="00146E62" w:rsidRDefault="00166DE5" w:rsidP="00166DE5">
      <w:r>
        <w:rPr>
          <w:i/>
        </w:rPr>
        <w:t xml:space="preserve">Not everyone is passionate about history, but it’s always been my firm belief that history has something for everyone, and </w:t>
      </w:r>
      <w:r w:rsidR="00146E62">
        <w:rPr>
          <w:i/>
        </w:rPr>
        <w:t xml:space="preserve">for </w:t>
      </w:r>
      <w:r>
        <w:rPr>
          <w:i/>
        </w:rPr>
        <w:t>every interest. For those of you who would like to continue your study of American history independently over the summer, I have compiled a list of books, articles, documentaries</w:t>
      </w:r>
      <w:r w:rsidR="004917D4">
        <w:rPr>
          <w:i/>
        </w:rPr>
        <w:t>,</w:t>
      </w:r>
      <w:r>
        <w:rPr>
          <w:i/>
        </w:rPr>
        <w:t xml:space="preserve"> and feature films that will help to continue the narrative that we began together this year, which we, as many history classes have done before us, were unable to </w:t>
      </w:r>
      <w:r w:rsidR="00251580">
        <w:rPr>
          <w:i/>
        </w:rPr>
        <w:t xml:space="preserve">fully </w:t>
      </w:r>
      <w:r>
        <w:rPr>
          <w:i/>
        </w:rPr>
        <w:t>complete. This is by no means an exhaustive list</w:t>
      </w:r>
      <w:r w:rsidR="00146E62">
        <w:rPr>
          <w:i/>
        </w:rPr>
        <w:t>, simply a sampling of materials which will help you cover some of the recent history that we did not get a chance to examine</w:t>
      </w:r>
      <w:r w:rsidR="00251580">
        <w:rPr>
          <w:i/>
        </w:rPr>
        <w:t xml:space="preserve"> deeply</w:t>
      </w:r>
      <w:r w:rsidR="00146E62">
        <w:rPr>
          <w:i/>
        </w:rPr>
        <w:t xml:space="preserve"> (the 90s and the 21</w:t>
      </w:r>
      <w:r w:rsidR="00146E62" w:rsidRPr="00146E62">
        <w:rPr>
          <w:i/>
          <w:vertAlign w:val="superscript"/>
        </w:rPr>
        <w:t>st</w:t>
      </w:r>
      <w:r w:rsidR="00146E62">
        <w:rPr>
          <w:i/>
        </w:rPr>
        <w:t xml:space="preserve"> century), as well as extra materials on other historical periods we studied together. Enjoy! </w:t>
      </w:r>
    </w:p>
    <w:p w:rsidR="00146E62" w:rsidRPr="00B76B44" w:rsidRDefault="00146E62" w:rsidP="00166DE5">
      <w:pPr>
        <w:rPr>
          <w:sz w:val="28"/>
          <w:szCs w:val="28"/>
          <w:u w:val="single"/>
        </w:rPr>
      </w:pPr>
      <w:r w:rsidRPr="00B76B44">
        <w:rPr>
          <w:b/>
          <w:sz w:val="28"/>
          <w:szCs w:val="28"/>
          <w:u w:val="single"/>
        </w:rPr>
        <w:t>Books:</w:t>
      </w:r>
    </w:p>
    <w:p w:rsidR="00146E62" w:rsidRDefault="00146E62" w:rsidP="00166DE5">
      <w:r>
        <w:t>Loewen, James. “Lies My Teacher Told Me”. The New Press. 1995.</w:t>
      </w:r>
    </w:p>
    <w:p w:rsidR="00146E62" w:rsidRDefault="00146E62" w:rsidP="00166DE5">
      <w:r>
        <w:t>Zinn, Howard. “A People’s History of American Empire: A Graphic Adaptation”. Holt, Henry &amp; Co. 2008</w:t>
      </w:r>
    </w:p>
    <w:p w:rsidR="00B76B44" w:rsidRPr="00B76B44" w:rsidRDefault="00B76B44" w:rsidP="00B76B4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B76B44">
        <w:rPr>
          <w:rFonts w:cstheme="minorHAnsi"/>
          <w:sz w:val="24"/>
          <w:szCs w:val="24"/>
        </w:rPr>
        <w:t xml:space="preserve">Edward T. </w:t>
      </w:r>
      <w:proofErr w:type="spellStart"/>
      <w:r w:rsidRPr="00B76B44">
        <w:rPr>
          <w:rFonts w:cstheme="minorHAnsi"/>
          <w:sz w:val="24"/>
          <w:szCs w:val="24"/>
        </w:rPr>
        <w:t>Linenthal</w:t>
      </w:r>
      <w:proofErr w:type="spellEnd"/>
      <w:r w:rsidRPr="00B76B44">
        <w:rPr>
          <w:rFonts w:cstheme="minorHAnsi"/>
          <w:sz w:val="24"/>
          <w:szCs w:val="24"/>
        </w:rPr>
        <w:t xml:space="preserve">, Tom Engelhardt, eds. </w:t>
      </w:r>
      <w:r>
        <w:rPr>
          <w:rFonts w:cstheme="minorHAnsi"/>
          <w:sz w:val="24"/>
          <w:szCs w:val="24"/>
        </w:rPr>
        <w:t>“</w:t>
      </w:r>
      <w:r w:rsidRPr="00B76B44">
        <w:rPr>
          <w:rFonts w:cstheme="minorHAnsi"/>
          <w:iCs/>
          <w:sz w:val="24"/>
          <w:szCs w:val="24"/>
        </w:rPr>
        <w:t>History Wars: The Enola Gay and Other Battles for</w:t>
      </w:r>
    </w:p>
    <w:p w:rsidR="00B76B44" w:rsidRPr="00B76B44" w:rsidRDefault="00B76B44" w:rsidP="00B76B44">
      <w:pPr>
        <w:rPr>
          <w:rFonts w:cstheme="minorHAnsi"/>
          <w:sz w:val="24"/>
          <w:szCs w:val="24"/>
        </w:rPr>
      </w:pPr>
      <w:r w:rsidRPr="00B76B44">
        <w:rPr>
          <w:rFonts w:cstheme="minorHAnsi"/>
          <w:iCs/>
          <w:sz w:val="24"/>
          <w:szCs w:val="24"/>
        </w:rPr>
        <w:t>the American Past</w:t>
      </w:r>
      <w:r>
        <w:rPr>
          <w:rFonts w:cstheme="minorHAnsi"/>
          <w:iCs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  <w:r w:rsidRPr="00B76B44">
        <w:rPr>
          <w:rFonts w:cstheme="minorHAnsi"/>
          <w:sz w:val="24"/>
          <w:szCs w:val="24"/>
        </w:rPr>
        <w:t xml:space="preserve"> Holt</w:t>
      </w:r>
      <w:r>
        <w:rPr>
          <w:rFonts w:cstheme="minorHAnsi"/>
          <w:sz w:val="24"/>
          <w:szCs w:val="24"/>
        </w:rPr>
        <w:t xml:space="preserve"> Books,</w:t>
      </w:r>
      <w:r w:rsidRPr="00B76B44">
        <w:rPr>
          <w:rFonts w:cstheme="minorHAnsi"/>
          <w:sz w:val="24"/>
          <w:szCs w:val="24"/>
        </w:rPr>
        <w:t xml:space="preserve"> 1996.</w:t>
      </w:r>
    </w:p>
    <w:p w:rsidR="00B76B44" w:rsidRPr="00B76B44" w:rsidRDefault="00B76B44" w:rsidP="00B76B4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Hahn, Steven. “</w:t>
      </w:r>
      <w:r w:rsidRPr="00B76B44">
        <w:rPr>
          <w:rFonts w:cstheme="minorHAnsi"/>
          <w:iCs/>
          <w:sz w:val="24"/>
          <w:szCs w:val="24"/>
        </w:rPr>
        <w:t>A Nation Without Borders: The United States and Its World in an Age of Civil</w:t>
      </w:r>
    </w:p>
    <w:p w:rsidR="00B76B44" w:rsidRPr="00B76B44" w:rsidRDefault="00B76B44" w:rsidP="00B76B44">
      <w:pPr>
        <w:rPr>
          <w:rFonts w:cstheme="minorHAnsi"/>
        </w:rPr>
      </w:pPr>
      <w:r w:rsidRPr="00B76B44">
        <w:rPr>
          <w:rFonts w:cstheme="minorHAnsi"/>
          <w:iCs/>
          <w:sz w:val="24"/>
          <w:szCs w:val="24"/>
        </w:rPr>
        <w:t>Wars, 1830-1910</w:t>
      </w:r>
      <w:r>
        <w:rPr>
          <w:rFonts w:cstheme="minorHAnsi"/>
          <w:sz w:val="24"/>
          <w:szCs w:val="24"/>
        </w:rPr>
        <w:t>”.</w:t>
      </w:r>
      <w:r w:rsidRPr="00B76B44">
        <w:rPr>
          <w:rFonts w:cstheme="minorHAnsi"/>
          <w:sz w:val="24"/>
          <w:szCs w:val="24"/>
        </w:rPr>
        <w:t xml:space="preserve"> Penguin</w:t>
      </w:r>
      <w:r>
        <w:rPr>
          <w:rFonts w:cstheme="minorHAnsi"/>
          <w:sz w:val="24"/>
          <w:szCs w:val="24"/>
        </w:rPr>
        <w:t xml:space="preserve"> Books</w:t>
      </w:r>
      <w:r w:rsidRPr="00B76B44">
        <w:rPr>
          <w:rFonts w:cstheme="minorHAnsi"/>
          <w:sz w:val="24"/>
          <w:szCs w:val="24"/>
        </w:rPr>
        <w:t>, 2016.</w:t>
      </w:r>
    </w:p>
    <w:p w:rsidR="00146E62" w:rsidRDefault="00146E62" w:rsidP="00166DE5">
      <w:r>
        <w:t>Harari, Yuval. “Sapiens: A Brief History of Humankind”. Harper Collins. 2011.  Chapter 8: There is No Justice in History (+ “The Vicious Circle” and “Purity in America”).</w:t>
      </w:r>
    </w:p>
    <w:p w:rsidR="00466408" w:rsidRDefault="00146E62" w:rsidP="00166DE5">
      <w:proofErr w:type="spellStart"/>
      <w:r>
        <w:t>Gelles</w:t>
      </w:r>
      <w:proofErr w:type="spellEnd"/>
      <w:r>
        <w:t>, Edith. “Abigail and John: Portrait of a Marriage”. Harper Collins. 2010</w:t>
      </w:r>
    </w:p>
    <w:p w:rsidR="00B76B44" w:rsidRDefault="00B76B4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Tosh, John. “Historians on History”. 2</w:t>
      </w:r>
      <w:r w:rsidRPr="00B76B44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Edition. Longman Publishing, 2008.</w:t>
      </w:r>
    </w:p>
    <w:p w:rsidR="00466408" w:rsidRPr="00466408" w:rsidRDefault="00466408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466408">
        <w:rPr>
          <w:rFonts w:asciiTheme="minorHAnsi" w:hAnsiTheme="minorHAnsi" w:cstheme="minorHAnsi"/>
          <w:color w:val="222222"/>
          <w:sz w:val="22"/>
          <w:szCs w:val="22"/>
        </w:rPr>
        <w:t>Lepore, Jill. "The Whites of Their Eyes". Princ</w:t>
      </w:r>
      <w:r>
        <w:rPr>
          <w:rFonts w:asciiTheme="minorHAnsi" w:hAnsiTheme="minorHAnsi" w:cstheme="minorHAnsi"/>
          <w:color w:val="222222"/>
          <w:sz w:val="22"/>
          <w:szCs w:val="22"/>
        </w:rPr>
        <w:t>eton University Press. 2010.</w:t>
      </w:r>
    </w:p>
    <w:p w:rsidR="00466408" w:rsidRDefault="00466408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466408">
        <w:rPr>
          <w:rFonts w:asciiTheme="minorHAnsi" w:hAnsiTheme="minorHAnsi" w:cstheme="minorHAnsi"/>
          <w:color w:val="222222"/>
          <w:sz w:val="22"/>
          <w:szCs w:val="22"/>
        </w:rPr>
        <w:t>Vance, J.D. "Hillbilly Elegy". Harper Press, 2016.</w:t>
      </w:r>
    </w:p>
    <w:p w:rsidR="00466408" w:rsidRDefault="00466408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Edwards, George C. “Overreach: Leadership in the Obama Presidency”. Princeton University Press. 2012 (available on JSTOR)</w:t>
      </w:r>
    </w:p>
    <w:p w:rsidR="003C199C" w:rsidRDefault="003C199C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Ontiveros, Randy J. “In the Spirit of a New People: The Cultural Politics of the Chicano Movement”. NYU Press. 2014. (Available on JSTOR)</w:t>
      </w:r>
      <w:r w:rsidRPr="003C199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4" w:history="1">
        <w:r w:rsidRPr="00A24E7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http://www.jstor.org/stable/j.ctt9qgjk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3A690B" w:rsidRDefault="00320C32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Pawel, Miriam. “The Crusades of Cesar Chavez: A Biography” Bloomsbury Publishing, USA. 2014</w:t>
      </w:r>
    </w:p>
    <w:p w:rsidR="003A690B" w:rsidRDefault="003A690B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Cott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Nancy F.  “The Bonds of Womanhood”. Yale University Press, 1977.</w:t>
      </w:r>
    </w:p>
    <w:p w:rsidR="003A690B" w:rsidRDefault="003A690B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Rydell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Robert W. “All the World’s a Fair”. University of Chicago Press, 1984.</w:t>
      </w:r>
    </w:p>
    <w:p w:rsidR="003A690B" w:rsidRDefault="003A690B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Tomes, Nancy. “The Gospel of Germs”. Harvard University Press, 1998.</w:t>
      </w:r>
    </w:p>
    <w:p w:rsidR="003A690B" w:rsidRDefault="003A690B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Pegram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Thomas R. “Battling Demon Rum”. Ivan R. Dee Publishing, 1998.</w:t>
      </w:r>
    </w:p>
    <w:p w:rsidR="003A690B" w:rsidRDefault="003A690B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Rorabaugh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W.J. “The Alcoholic Republic”. Oxford University Press, 1979.</w:t>
      </w:r>
    </w:p>
    <w:p w:rsidR="003A690B" w:rsidRDefault="003A690B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Rosenberg, Charles E. “The Cholera Years”. University of Chicago Press, 1962.</w:t>
      </w:r>
    </w:p>
    <w:p w:rsidR="00E40CC8" w:rsidRDefault="001D0638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Peiss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Kathy. “Cheap Amusements”. Temple University Press, 1986.</w:t>
      </w:r>
    </w:p>
    <w:p w:rsidR="00E40CC8" w:rsidRDefault="00E40CC8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Johnson, Paul E. “A Shopkeeper’s Millennium”. Hill &amp; Wang Publishing, 1978.</w:t>
      </w:r>
    </w:p>
    <w:p w:rsidR="00E40CC8" w:rsidRDefault="00E40CC8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Adams, George Worthington. “Doctors in Blue”. Louisiana State University Press, 1952.</w:t>
      </w:r>
    </w:p>
    <w:p w:rsidR="00E40CC8" w:rsidRDefault="00E40CC8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Levine, Lawrence W. “Highbrow Lowbrow”. Harvard University Press, 1988.</w:t>
      </w:r>
    </w:p>
    <w:p w:rsidR="00E40CC8" w:rsidRDefault="00E40CC8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Perdue,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Green, Michael. “The Cherokee Removal”. Bedford/St. Martin’s, 2005.</w:t>
      </w:r>
    </w:p>
    <w:p w:rsidR="00016793" w:rsidRDefault="00016793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Chris. “Hearts West: True Stories of Mail-Order Brides on the Frontier”.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Rowman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Littlefield Publishing, 2005.</w:t>
      </w:r>
    </w:p>
    <w:p w:rsidR="00016793" w:rsidRDefault="00016793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McCullough, David. “The Greater Journey: Americans in Paris”. Simon &amp; Schuster, 2011.</w:t>
      </w:r>
    </w:p>
    <w:p w:rsidR="00C52E9D" w:rsidRDefault="00016793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Freeman, Joanne B. “Field of Blood: Violence in Congress and the Road to the Civil War”. Farrar, Strauss, and Giroux, 2018.</w:t>
      </w:r>
    </w:p>
    <w:p w:rsidR="00C52E9D" w:rsidRDefault="00C52E9D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Royster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Jacqueline Jones. “Southern Horrors and Other Writings: The Anti-Lynching Campaign of Ida B. Wells, 1892 – 1900”. Ohio State University Press, 1997.</w:t>
      </w:r>
    </w:p>
    <w:p w:rsidR="00C52E9D" w:rsidRDefault="00C52E9D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Ed. Greenberg, Kenneth. “The Confessions of Nat Turner and Related Documents”. Bedford Books, 1996.</w:t>
      </w:r>
    </w:p>
    <w:p w:rsidR="001D0638" w:rsidRDefault="00C52E9D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Johnson, Paul E.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Wilentz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Sean. “The Kingdom of Matthias: A Story of Sex and Salvation in 19</w:t>
      </w:r>
      <w:r w:rsidRPr="00C52E9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Century America”. Oxford University Press, 1994.</w:t>
      </w:r>
    </w:p>
    <w:p w:rsidR="00B76B44" w:rsidRDefault="00B76B44" w:rsidP="0046640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66408" w:rsidRPr="00B76B44" w:rsidRDefault="00466408" w:rsidP="00466408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76B44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Articles:</w:t>
      </w:r>
    </w:p>
    <w:p w:rsidR="00466408" w:rsidRPr="00466408" w:rsidRDefault="00466408" w:rsidP="0046640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466408">
        <w:rPr>
          <w:rFonts w:cstheme="minorHAnsi"/>
          <w:color w:val="222222"/>
        </w:rPr>
        <w:t>Gozzi</w:t>
      </w:r>
      <w:proofErr w:type="spellEnd"/>
      <w:r w:rsidRPr="00466408">
        <w:rPr>
          <w:rFonts w:cstheme="minorHAnsi"/>
          <w:color w:val="222222"/>
        </w:rPr>
        <w:t xml:space="preserve">, Raymond. “The Nineties – The Downsizing Decade”. </w:t>
      </w:r>
      <w:r w:rsidRPr="00466408">
        <w:rPr>
          <w:rFonts w:eastAsia="Times New Roman" w:cstheme="minorHAnsi"/>
          <w:i/>
          <w:iCs/>
          <w:color w:val="222222"/>
        </w:rPr>
        <w:t>ETC: A Review of General Semantics</w:t>
      </w:r>
    </w:p>
    <w:p w:rsidR="00466408" w:rsidRDefault="00466408" w:rsidP="0046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66408">
        <w:rPr>
          <w:rFonts w:eastAsia="Times New Roman" w:cstheme="minorHAnsi"/>
          <w:color w:val="222222"/>
        </w:rPr>
        <w:t>Vol. 56, No. 4 (Winter 1999-2000), pp. 458-463</w:t>
      </w:r>
      <w:r>
        <w:rPr>
          <w:rFonts w:eastAsia="Times New Roman" w:cstheme="minorHAnsi"/>
          <w:color w:val="222222"/>
        </w:rPr>
        <w:t xml:space="preserve">. </w:t>
      </w:r>
      <w:hyperlink r:id="rId5" w:history="1">
        <w:r w:rsidRPr="00A24E74">
          <w:rPr>
            <w:rStyle w:val="Hyperlink"/>
            <w:rFonts w:eastAsia="Times New Roman" w:cstheme="minorHAnsi"/>
          </w:rPr>
          <w:t>http://www.jstor.org/stable/42577985</w:t>
        </w:r>
      </w:hyperlink>
    </w:p>
    <w:p w:rsidR="00466408" w:rsidRDefault="0078711F" w:rsidP="00466408">
      <w:pPr>
        <w:pStyle w:val="NormalWeb"/>
        <w:shd w:val="clear" w:color="auto" w:fill="FFFFFF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Jones, Jeffrey et al</w:t>
      </w:r>
      <w:r w:rsidR="00466408" w:rsidRPr="0078711F">
        <w:rPr>
          <w:rFonts w:asciiTheme="minorHAnsi" w:hAnsiTheme="minorHAnsi" w:cstheme="minorHAnsi"/>
          <w:color w:val="222222"/>
          <w:sz w:val="22"/>
          <w:szCs w:val="22"/>
        </w:rPr>
        <w:t>. The 2000s - "The Decade in Review: Four Key Trends"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. December, 2009. </w:t>
      </w:r>
      <w:hyperlink r:id="rId6" w:history="1">
        <w:r w:rsidRPr="0078711F">
          <w:rPr>
            <w:rStyle w:val="Hyperlink"/>
            <w:rFonts w:asciiTheme="minorHAnsi" w:hAnsiTheme="minorHAnsi" w:cstheme="minorHAnsi"/>
            <w:sz w:val="22"/>
            <w:szCs w:val="22"/>
          </w:rPr>
          <w:t>http://www.gallup.com/poll/124787/decade-review-four-key-trends.aspx</w:t>
        </w:r>
      </w:hyperlink>
    </w:p>
    <w:p w:rsidR="00F93135" w:rsidRDefault="00F93135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Lowery, Wesley. “Aren’t more white people than black people killed by police? Yes, but no.” </w:t>
      </w:r>
      <w:r w:rsidRPr="00F93135">
        <w:rPr>
          <w:rFonts w:asciiTheme="minorHAnsi" w:hAnsiTheme="minorHAnsi" w:cstheme="minorHAnsi"/>
          <w:i/>
          <w:color w:val="222222"/>
          <w:sz w:val="22"/>
          <w:szCs w:val="22"/>
        </w:rPr>
        <w:t>The Washington Post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. July 11, 2016. </w:t>
      </w:r>
      <w:hyperlink r:id="rId7" w:history="1">
        <w:r w:rsidRPr="00A855E6">
          <w:rPr>
            <w:rStyle w:val="Hyperlink"/>
            <w:rFonts w:asciiTheme="minorHAnsi" w:hAnsiTheme="minorHAnsi" w:cstheme="minorHAnsi"/>
            <w:sz w:val="22"/>
            <w:szCs w:val="22"/>
          </w:rPr>
          <w:t>https://www.washingtonpost.com/news/post-nation/wp/2016/07/11/arent-more-white-people-than-black-people-killed-by-police-yes-but-no/?utm_term=.d7a0f9a8b904</w:t>
        </w:r>
      </w:hyperlink>
    </w:p>
    <w:p w:rsidR="0078711F" w:rsidRDefault="0078711F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Mishkin, Frederic S. “Over the Cliff: From the Subprime to the Global Financial Crisis”. The Journal of Economic Perspectives. Vol. 25, No. 1 (Winter 2011), pp. 49-70. </w:t>
      </w:r>
      <w:hyperlink r:id="rId8" w:history="1">
        <w:r w:rsidRPr="00A24E74">
          <w:rPr>
            <w:rStyle w:val="Hyperlink"/>
            <w:rFonts w:asciiTheme="minorHAnsi" w:hAnsiTheme="minorHAnsi" w:cstheme="minorHAnsi"/>
            <w:sz w:val="22"/>
            <w:szCs w:val="22"/>
          </w:rPr>
          <w:t>http://www.jstor.org/stable/23049438</w:t>
        </w:r>
      </w:hyperlink>
    </w:p>
    <w:p w:rsidR="0078711F" w:rsidRDefault="0078711F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Rieff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, David. “The Long War on Terror”. The New York Times. July 23, </w:t>
      </w:r>
      <w:r w:rsidRPr="0078711F">
        <w:rPr>
          <w:rFonts w:asciiTheme="minorHAnsi" w:hAnsiTheme="minorHAnsi" w:cstheme="minorHAnsi"/>
          <w:color w:val="222222"/>
          <w:sz w:val="22"/>
          <w:szCs w:val="22"/>
        </w:rPr>
        <w:t xml:space="preserve">2016. </w:t>
      </w:r>
      <w:r w:rsidRPr="0078711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hyperlink r:id="rId9" w:history="1">
        <w:r w:rsidRPr="00A24E7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https://www.nytimes.com/2016/07/24/opinion/sunday/the-long-war-on-terror.html?_r=0</w:t>
        </w:r>
      </w:hyperlink>
    </w:p>
    <w:p w:rsidR="0078711F" w:rsidRDefault="0078711F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Ford, Pearl et al. “’Yes We Can or Yes We Did’? Prospective and Retrospective Change in the Obama Presidency”. Journal of Black Studies. Vol. 40, No. 3. January, 2010. </w:t>
      </w:r>
      <w:hyperlink r:id="rId10" w:anchor="page_scan_tab_contents" w:history="1">
        <w:r w:rsidRPr="00A24E7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https://www.jstor.org/stable/40648602?seq=1#page_scan_tab_contents</w:t>
        </w:r>
      </w:hyperlink>
    </w:p>
    <w:p w:rsidR="00F93135" w:rsidRDefault="00F93135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Taylor, Paul. “The Next America”. Pewresearch.org. April 10, 2014.</w:t>
      </w:r>
      <w:r w:rsidRPr="00F93135">
        <w:t xml:space="preserve"> </w:t>
      </w:r>
      <w:hyperlink r:id="rId11" w:anchor="Two-Dramas-in-Slow-Motion" w:history="1">
        <w:r w:rsidRPr="00A855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http://www.pewresearch.org/next-america/#Two-Dramas-in-Slow-Motion</w:t>
        </w:r>
      </w:hyperlink>
    </w:p>
    <w:p w:rsidR="00F93135" w:rsidRPr="00F93135" w:rsidRDefault="00F93135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:rsidR="0078711F" w:rsidRPr="00B76B44" w:rsidRDefault="003C199C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  <w:u w:val="single"/>
          <w:shd w:val="clear" w:color="auto" w:fill="FFFFFF"/>
        </w:rPr>
      </w:pPr>
      <w:r w:rsidRPr="00B76B44">
        <w:rPr>
          <w:rFonts w:asciiTheme="minorHAnsi" w:hAnsiTheme="minorHAnsi"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Documentaries, Feature </w:t>
      </w:r>
      <w:r w:rsidR="0078711F" w:rsidRPr="00B76B44">
        <w:rPr>
          <w:rFonts w:asciiTheme="minorHAnsi" w:hAnsiTheme="minorHAnsi" w:cstheme="minorHAnsi"/>
          <w:b/>
          <w:color w:val="222222"/>
          <w:sz w:val="28"/>
          <w:szCs w:val="28"/>
          <w:u w:val="single"/>
          <w:shd w:val="clear" w:color="auto" w:fill="FFFFFF"/>
        </w:rPr>
        <w:t>Films</w:t>
      </w:r>
      <w:r w:rsidRPr="00B76B44">
        <w:rPr>
          <w:rFonts w:asciiTheme="minorHAnsi" w:hAnsiTheme="minorHAnsi"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 and Television Series</w:t>
      </w:r>
      <w:r w:rsidR="0078711F" w:rsidRPr="00B76B44">
        <w:rPr>
          <w:rFonts w:asciiTheme="minorHAnsi" w:hAnsiTheme="minorHAnsi" w:cstheme="minorHAnsi"/>
          <w:b/>
          <w:color w:val="222222"/>
          <w:sz w:val="28"/>
          <w:szCs w:val="28"/>
          <w:u w:val="single"/>
          <w:shd w:val="clear" w:color="auto" w:fill="FFFFFF"/>
        </w:rPr>
        <w:t>:</w:t>
      </w:r>
    </w:p>
    <w:p w:rsidR="0078711F" w:rsidRDefault="0078711F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“Bowling for Columbine” (2002) Directed by Michael Moore.</w:t>
      </w:r>
      <w:r w:rsidR="003C199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(Netflix)</w:t>
      </w:r>
    </w:p>
    <w:p w:rsidR="003C199C" w:rsidRDefault="003C199C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“Reel Injun: On the Trail of the Hollywood Indian” (2009) Directed by Neil Diamond, Catherine Bainbridge and Jeremy Hayes. (Netflix)</w:t>
      </w:r>
    </w:p>
    <w:p w:rsidR="003C199C" w:rsidRDefault="003C199C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“Get Me Roger Stone” (2017) Directed by Morgan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Pehme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(Netflix)</w:t>
      </w:r>
    </w:p>
    <w:p w:rsidR="00ED5533" w:rsidRDefault="00ED5533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“13</w:t>
      </w:r>
      <w:r w:rsidRPr="00ED553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 (2016) Directed by Ava DuVernay. (Netflix)</w:t>
      </w:r>
    </w:p>
    <w:p w:rsidR="0078711F" w:rsidRDefault="003C199C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“Bury My Heart At Wounded Knee”. (2007) Directed by Yves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Simoneau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(Netflix)</w:t>
      </w:r>
    </w:p>
    <w:p w:rsidR="00B671C1" w:rsidRDefault="00B671C1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“The Immortal Life of Henrietta Lacks” (2017) Directed by George C. Wolf. (HBO)</w:t>
      </w:r>
    </w:p>
    <w:p w:rsidR="00B671C1" w:rsidRDefault="00B671C1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“The Wizard of Lies” (2017) Directed by Barry Levinson. (HBO)</w:t>
      </w:r>
    </w:p>
    <w:p w:rsidR="003C199C" w:rsidRDefault="00B671C1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T.V. Series – “John Adams”. (2008) Directed by Tom Hooper. (HBO)</w:t>
      </w:r>
    </w:p>
    <w:p w:rsidR="00251580" w:rsidRDefault="00251580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“Lincoln” (2012) Directed by Steven Spielberg</w:t>
      </w:r>
    </w:p>
    <w:p w:rsidR="00251580" w:rsidRDefault="00251580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T.V. Series </w:t>
      </w:r>
      <w:r w:rsidR="00061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“CNNs The Sixties” (2014)</w:t>
      </w:r>
    </w:p>
    <w:p w:rsidR="000617C4" w:rsidRDefault="000617C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“CNNs The Seventies” (2015)</w:t>
      </w:r>
    </w:p>
    <w:p w:rsidR="000617C4" w:rsidRDefault="000617C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“CNNs The Eighties” (2016)</w:t>
      </w:r>
    </w:p>
    <w:p w:rsidR="000617C4" w:rsidRDefault="000617C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“CNNs The Nineties” (2017)</w:t>
      </w:r>
    </w:p>
    <w:p w:rsidR="00406CE4" w:rsidRDefault="00406CE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“CNNs The 2000s” (2018)</w:t>
      </w:r>
    </w:p>
    <w:p w:rsidR="000617C4" w:rsidRDefault="000617C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“The Big Short” (2015) Directed by Adam McKay</w:t>
      </w:r>
    </w:p>
    <w:p w:rsidR="000617C4" w:rsidRDefault="000617C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“Malcom X: Make it Plain” (PBS, 1994) Directed by Orlando Bagwell.</w:t>
      </w:r>
      <w:r w:rsidRPr="000617C4">
        <w:t xml:space="preserve"> </w:t>
      </w:r>
      <w:hyperlink r:id="rId12" w:history="1">
        <w:r w:rsidRPr="00A855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https://www.youtube.com/watch?v=3zIGNkR62Mo</w:t>
        </w:r>
      </w:hyperlink>
    </w:p>
    <w:p w:rsidR="00320C32" w:rsidRDefault="00320C32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T.V. Series - “Prohibition” (2011) Directed by Ken Burns. </w:t>
      </w:r>
    </w:p>
    <w:p w:rsidR="00F93135" w:rsidRDefault="000617C4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Mudbound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</w:t>
      </w:r>
      <w:r w:rsidR="00ED553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(2017) Directed by Dee Rees</w:t>
      </w:r>
    </w:p>
    <w:p w:rsidR="00F93135" w:rsidRDefault="00F93135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“Iron Jawed Angels”</w:t>
      </w:r>
      <w:r w:rsidR="00ED553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(2004) Directed by Katja von Garnier.</w:t>
      </w:r>
    </w:p>
    <w:p w:rsidR="00ED5533" w:rsidRDefault="00ED5533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“Standing in the Shadows of Motown” (2002) Directed by Paul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Justman</w:t>
      </w:r>
      <w:proofErr w:type="spellEnd"/>
      <w:r w:rsidR="00320C3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  <w:hyperlink r:id="rId13" w:history="1">
        <w:r w:rsidR="00320C32" w:rsidRPr="00A855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https://vimeo.com/150501920</w:t>
        </w:r>
      </w:hyperlink>
    </w:p>
    <w:p w:rsidR="000617C4" w:rsidRDefault="00F93135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“Gettysburg”</w:t>
      </w:r>
      <w:r w:rsidR="00ED553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(1993) Directed by Ronald F. Maxwell.</w:t>
      </w:r>
    </w:p>
    <w:p w:rsidR="00ED5533" w:rsidRDefault="00ED5533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“Smoke Signals” (1998) Directed by Chris Eyre.</w:t>
      </w:r>
    </w:p>
    <w:p w:rsidR="00320C32" w:rsidRDefault="00320C32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“Legends of the Fall” (1994) Directed by Edward Zwick.</w:t>
      </w:r>
    </w:p>
    <w:p w:rsidR="00B76B44" w:rsidRDefault="001D0638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76B4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“The Final Year” (2017) HBO Documentary. Directed by Greg Barker.</w:t>
      </w:r>
      <w:bookmarkStart w:id="0" w:name="_GoBack"/>
      <w:bookmarkEnd w:id="0"/>
    </w:p>
    <w:p w:rsidR="00251580" w:rsidRDefault="00251580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</w:p>
    <w:p w:rsidR="00B671C1" w:rsidRPr="0078711F" w:rsidRDefault="00B671C1" w:rsidP="0046640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:rsidR="0078711F" w:rsidRDefault="0078711F" w:rsidP="0046640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66408" w:rsidRPr="00466408" w:rsidRDefault="00466408" w:rsidP="0046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466408" w:rsidRPr="00466408" w:rsidSect="007C657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166DE5"/>
    <w:rsid w:val="00016793"/>
    <w:rsid w:val="000617C4"/>
    <w:rsid w:val="00146E62"/>
    <w:rsid w:val="00166DE5"/>
    <w:rsid w:val="001D0638"/>
    <w:rsid w:val="00251580"/>
    <w:rsid w:val="00320C32"/>
    <w:rsid w:val="00393A59"/>
    <w:rsid w:val="003A690B"/>
    <w:rsid w:val="003C199C"/>
    <w:rsid w:val="00406CE4"/>
    <w:rsid w:val="00466408"/>
    <w:rsid w:val="004917D4"/>
    <w:rsid w:val="005B7CA8"/>
    <w:rsid w:val="00613F68"/>
    <w:rsid w:val="0078711F"/>
    <w:rsid w:val="007C657A"/>
    <w:rsid w:val="00B671C1"/>
    <w:rsid w:val="00B76B44"/>
    <w:rsid w:val="00C52E9D"/>
    <w:rsid w:val="00E35F62"/>
    <w:rsid w:val="00E40CC8"/>
    <w:rsid w:val="00ED5533"/>
    <w:rsid w:val="00F9313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40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6640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71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C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7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wresearch.org/next-america/" TargetMode="External"/><Relationship Id="rId12" Type="http://schemas.openxmlformats.org/officeDocument/2006/relationships/hyperlink" Target="https://www.youtube.com/watch?v=3zIGNkR62Mo" TargetMode="External"/><Relationship Id="rId13" Type="http://schemas.openxmlformats.org/officeDocument/2006/relationships/hyperlink" Target="https://vimeo.com/15050192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jstor.org/stable/j.ctt9qgjk" TargetMode="External"/><Relationship Id="rId5" Type="http://schemas.openxmlformats.org/officeDocument/2006/relationships/hyperlink" Target="http://www.jstor.org/stable/42577985" TargetMode="External"/><Relationship Id="rId6" Type="http://schemas.openxmlformats.org/officeDocument/2006/relationships/hyperlink" Target="http://www.gallup.com/poll/124787/decade-review-four-key-trends.aspx" TargetMode="External"/><Relationship Id="rId7" Type="http://schemas.openxmlformats.org/officeDocument/2006/relationships/hyperlink" Target="https://www.washingtonpost.com/news/post-nation/wp/2016/07/11/arent-more-white-people-than-black-people-killed-by-police-yes-but-no/?utm_term=.d7a0f9a8b904" TargetMode="External"/><Relationship Id="rId8" Type="http://schemas.openxmlformats.org/officeDocument/2006/relationships/hyperlink" Target="http://www.jstor.org/stable/23049438" TargetMode="External"/><Relationship Id="rId9" Type="http://schemas.openxmlformats.org/officeDocument/2006/relationships/hyperlink" Target="https://www.nytimes.com/2016/07/24/opinion/sunday/the-long-war-on-terror.html?_r=0" TargetMode="External"/><Relationship Id="rId10" Type="http://schemas.openxmlformats.org/officeDocument/2006/relationships/hyperlink" Target="https://www.jstor.org/stable/40648602?seq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1099</Words>
  <Characters>6267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cp:lastPrinted>2018-06-07T01:54:00Z</cp:lastPrinted>
  <dcterms:created xsi:type="dcterms:W3CDTF">2019-06-06T20:51:00Z</dcterms:created>
  <dcterms:modified xsi:type="dcterms:W3CDTF">2019-06-07T18:19:00Z</dcterms:modified>
</cp:coreProperties>
</file>